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55" w:rsidRDefault="00630755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F00562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сельского поселения Шапша за 201</w:t>
      </w:r>
      <w:r w:rsidR="00BE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693428" w:rsidRPr="00693428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3428" w:rsidRPr="009F4D45" w:rsidRDefault="00693428" w:rsidP="00BE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595250" w:rsidRDefault="00693428" w:rsidP="00E6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Pr="00CB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</w:t>
      </w:r>
      <w:r w:rsidR="00E6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Ханты-Мансийского района», п</w:t>
      </w:r>
      <w:r w:rsidR="00E63EE2" w:rsidRPr="00AB4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</w:t>
      </w:r>
      <w:proofErr w:type="gramEnd"/>
      <w:r w:rsidR="00E63EE2" w:rsidRPr="00AB46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приказа                        контрольно-счетной палаты Ханты-Мансийского района                                     от 27.12.2019 № 46 «Об утверждении плана работы контрольно-счетной палаты Ханты-Мансийского района на 2020 год»</w:t>
      </w:r>
      <w:r w:rsidR="00E6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</w:t>
      </w:r>
      <w:r w:rsidR="009E3D45"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Шапша по осуществлению внешнего муниципального финансового контроля</w:t>
      </w:r>
      <w:r w:rsidR="009E3D45"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</w:t>
      </w:r>
      <w:r w:rsidR="009E3D45"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250"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27FE5"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5250"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595250" w:rsidRDefault="00693428" w:rsidP="0059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                              финансово-экономическим сектором администрации сельского поселения Шапша.</w:t>
      </w:r>
    </w:p>
    <w:p w:rsidR="00693428" w:rsidRPr="00595250" w:rsidRDefault="00693428" w:rsidP="0059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экспертно-аналитического мероприятия: </w:t>
      </w:r>
    </w:p>
    <w:p w:rsidR="00693428" w:rsidRPr="004B433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 сельского поселения Шапша.</w:t>
      </w:r>
    </w:p>
    <w:p w:rsidR="00693428" w:rsidRPr="004B433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4B433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образования «Сельское поселение Шапша» за 201</w:t>
      </w:r>
      <w:r w:rsidR="004B43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4B433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4B433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Шапша </w:t>
      </w:r>
      <w:proofErr w:type="gramStart"/>
      <w:r w:rsidRPr="004B4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4B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4B433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4B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4B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4B433A" w:rsidRDefault="009F4D45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B433A"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</w:t>
      </w:r>
      <w:r w:rsidR="004B433A"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A2C"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</w:t>
      </w:r>
      <w:r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433A"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4B433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Результаты экспертно-аналитического мероприятия:</w:t>
      </w:r>
    </w:p>
    <w:p w:rsidR="009E3D45" w:rsidRPr="00F45E95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</w:t>
      </w:r>
      <w:r w:rsidR="00B36438" w:rsidRPr="00F4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F4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</w:t>
      </w:r>
      <w:r w:rsidR="009E3D45" w:rsidRPr="00F4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4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Шапша.   </w:t>
      </w:r>
    </w:p>
    <w:p w:rsidR="0083303F" w:rsidRPr="00DF016B" w:rsidRDefault="00CC4A3E" w:rsidP="0083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Нормы с</w:t>
      </w:r>
      <w:r w:rsidR="0083303F" w:rsidRPr="00DF0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03F" w:rsidRPr="00DF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264.2. Бюджетного кодекса РФ в части срока предоставления годового отчета, установленно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финансовым органом, соблюдены</w:t>
      </w:r>
      <w:r w:rsidR="0083303F" w:rsidRPr="00DF0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D45" w:rsidRPr="00F45E95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693428" w:rsidRPr="00F45E95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5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параметры бюджета сельского поселения Шапша</w:t>
      </w:r>
    </w:p>
    <w:p w:rsidR="009E3D45" w:rsidRPr="00F13EE0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сельского поселения</w:t>
      </w:r>
      <w:r w:rsidR="00761A51"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20.12.2018 № 19 «О бюджете сельского поселения Шапша на очередной 2019 год и плановый  период 2020 и 2021 годов» </w:t>
      </w:r>
      <w:r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первоначальной редакции) утверждены основные характеристики бюджета сельского поселения</w:t>
      </w:r>
      <w:r w:rsidR="00761A51"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61A51"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5C64"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</w:t>
      </w:r>
      <w:r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1A51"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36 923,20 </w:t>
      </w:r>
      <w:r w:rsidR="004C5642"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F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E3D45" w:rsidRPr="00F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F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13EE0" w:rsidRPr="00F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36 923,20 </w:t>
      </w:r>
      <w:r w:rsidRPr="00F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9E3D45" w:rsidRPr="00F13E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 тыс. рублей.</w:t>
      </w:r>
    </w:p>
    <w:p w:rsidR="009E3D45" w:rsidRPr="002B17D2" w:rsidRDefault="00693428" w:rsidP="002B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201</w:t>
      </w:r>
      <w:r w:rsidR="003642CF" w:rsidRPr="003642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увеличился: 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на </w:t>
      </w:r>
      <w:r w:rsidR="003642CF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17 005,52</w:t>
      </w:r>
      <w:r w:rsidR="00C00BC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17D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BC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1,50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E3D45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</w:t>
      </w:r>
      <w:r w:rsidR="002B17D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53 928,72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на </w:t>
      </w:r>
      <w:r w:rsidR="002B17D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18 309,74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17D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33,15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2B17D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55 232,94</w:t>
      </w:r>
      <w:r w:rsidR="00C00BC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Дефицит бюджета </w:t>
      </w:r>
      <w:r w:rsidR="00C00BC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</w:t>
      </w:r>
      <w:r w:rsid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2B17D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1 304,22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20C4" w:rsidRPr="003A135F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201</w:t>
      </w:r>
      <w:r w:rsidR="002B17D2"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</w:t>
      </w:r>
      <w:r w:rsidRPr="006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исполнены в сумме                 - 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51 5</w:t>
      </w:r>
      <w:r w:rsidR="00AB7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3,63 </w:t>
      </w:r>
      <w:r w:rsidR="007440CD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="00AB7AB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сумме – 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52 580,93</w:t>
      </w: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95,20</w:t>
      </w: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201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в </w:t>
      </w:r>
      <w:r w:rsidR="002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0</w:t>
      </w:r>
      <w:r w:rsidR="00AB7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0C4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7,30 </w:t>
      </w: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693428" w:rsidRPr="003A135F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характерис</w:t>
      </w:r>
      <w:r w:rsidR="00C00BC2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бюджета сельского поселения</w:t>
      </w: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отчету об исполнении бюджета и по результатам проверки приведены </w:t>
      </w:r>
      <w:r w:rsidR="009E3D45"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A1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693428" w:rsidRPr="003A135F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A135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693428" w:rsidRPr="003A135F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3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1176"/>
        <w:gridCol w:w="1049"/>
        <w:gridCol w:w="1602"/>
        <w:gridCol w:w="1125"/>
        <w:gridCol w:w="985"/>
        <w:gridCol w:w="1018"/>
        <w:gridCol w:w="1134"/>
        <w:gridCol w:w="984"/>
      </w:tblGrid>
      <w:tr w:rsidR="002B17D2" w:rsidRPr="002B17D2" w:rsidTr="00E73B9F">
        <w:trPr>
          <w:trHeight w:val="56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2B17D2" w:rsidRPr="002B17D2" w:rsidTr="00AB7ABD">
        <w:trPr>
          <w:trHeight w:val="1085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вии с решением Совета депутатов </w:t>
            </w: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сельского поселения                          от 26.12.2017 № 279                (с изменениями)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B17D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2B17D2" w:rsidRPr="002B17D2" w:rsidTr="00AB7ABD">
        <w:trPr>
          <w:trHeight w:val="56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D2" w:rsidRPr="002B17D2" w:rsidRDefault="002B17D2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B7ABD" w:rsidRPr="00AB7ABD" w:rsidTr="00AB7ABD">
        <w:trPr>
          <w:trHeight w:val="311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53 928,72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53 928,72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51 553,63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51 553,63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95,60</w:t>
            </w:r>
          </w:p>
        </w:tc>
      </w:tr>
      <w:tr w:rsidR="00AB7ABD" w:rsidRPr="00AB7ABD" w:rsidTr="00AB7ABD">
        <w:trPr>
          <w:trHeight w:val="27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55 232,94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55 232,94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52 580,93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52 580,93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95,20</w:t>
            </w:r>
          </w:p>
        </w:tc>
      </w:tr>
      <w:tr w:rsidR="00AB7ABD" w:rsidRPr="00AB7ABD" w:rsidTr="00AB7ABD">
        <w:trPr>
          <w:trHeight w:val="277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-1 304,22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-1 304,22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2B17D2" w:rsidRDefault="00AB7ABD" w:rsidP="002B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17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-1 027,30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-1 027,30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D" w:rsidRPr="00AB7ABD" w:rsidRDefault="00AB7ABD" w:rsidP="00AB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B7A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78,77</w:t>
            </w:r>
          </w:p>
        </w:tc>
      </w:tr>
    </w:tbl>
    <w:p w:rsidR="00AB7ABD" w:rsidRPr="00BE0332" w:rsidRDefault="00AB7ABD" w:rsidP="00E7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557C0A" w:rsidRPr="003A135F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A135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 поселения Шапша:</w:t>
      </w:r>
    </w:p>
    <w:p w:rsidR="00693428" w:rsidRPr="00A52C82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</w:t>
      </w:r>
      <w:r w:rsidR="007440CD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по доходам </w:t>
      </w:r>
      <w:r w:rsidR="00557C0A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40CD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C2481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1C2481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A52C82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52C8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   </w:t>
      </w:r>
      <w:r w:rsidR="00693428" w:rsidRPr="00A52C8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2</w:t>
      </w:r>
    </w:p>
    <w:tbl>
      <w:tblPr>
        <w:tblW w:w="4902" w:type="pct"/>
        <w:tblInd w:w="108" w:type="dxa"/>
        <w:tblLook w:val="04A0" w:firstRow="1" w:lastRow="0" w:firstColumn="1" w:lastColumn="0" w:noHBand="0" w:noVBand="1"/>
      </w:tblPr>
      <w:tblGrid>
        <w:gridCol w:w="1790"/>
        <w:gridCol w:w="939"/>
        <w:gridCol w:w="615"/>
        <w:gridCol w:w="1031"/>
        <w:gridCol w:w="856"/>
        <w:gridCol w:w="604"/>
        <w:gridCol w:w="1113"/>
        <w:gridCol w:w="1048"/>
        <w:gridCol w:w="1109"/>
      </w:tblGrid>
      <w:tr w:rsidR="000C5D87" w:rsidRPr="000C5D87" w:rsidTr="00E73B9F">
        <w:trPr>
          <w:trHeight w:val="106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2019 года от факта 2018 года, тыс. рублей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Темп </w:t>
            </w:r>
            <w:r w:rsidR="00220A2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</w:t>
            </w: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роста</w:t>
            </w:r>
            <w:r w:rsid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(снижения)</w:t>
            </w: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,%</w:t>
            </w:r>
          </w:p>
        </w:tc>
      </w:tr>
      <w:tr w:rsidR="000C5D87" w:rsidRPr="000C5D87" w:rsidTr="00E73B9F">
        <w:trPr>
          <w:trHeight w:val="56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73B9F" w:rsidRPr="000C5D87" w:rsidTr="00E73B9F">
        <w:trPr>
          <w:trHeight w:val="621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C5D87" w:rsidRPr="000C5D87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87" w:rsidRPr="000C5D87" w:rsidRDefault="000C5D87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52 959,32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53 928,71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51 553,63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95,60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-1 405,69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-2,65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Налоговые и неналоговые доходы,</w:t>
            </w:r>
            <w:r w:rsidR="005A40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</w:t>
            </w: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8 659,42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16,35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10 349,33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8 780,90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17,03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121,48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1,40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Налоговые доходы, </w:t>
            </w:r>
            <w:r w:rsidR="00220A2C"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="005A40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</w:t>
            </w:r>
            <w:r w:rsidR="00220A2C"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8 239,01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9 043,68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7 947,78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15,42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87,88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-291,23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-3,53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5 956,01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5 446,35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5 556,02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10,78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-399,99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-6,72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1 001,68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2 328,90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1 147,72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14,58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-15,30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-11,06</w:t>
            </w:r>
          </w:p>
        </w:tc>
      </w:tr>
      <w:tr w:rsidR="00FE428D" w:rsidRPr="007F5D00" w:rsidTr="00E73B9F">
        <w:trPr>
          <w:trHeight w:val="45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1 139,91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1 141,42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1 117,54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-22,37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-1,96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12,58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Неналоговые доходы, </w:t>
            </w:r>
            <w:r w:rsidR="005A40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</w:t>
            </w: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1 305,65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833,11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1,62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63,81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412,71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98,17</w:t>
            </w:r>
          </w:p>
        </w:tc>
      </w:tr>
      <w:tr w:rsidR="00FE428D" w:rsidRPr="007F5D00" w:rsidTr="00E73B9F">
        <w:trPr>
          <w:trHeight w:val="675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152,81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-81,32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-34,73</w:t>
            </w:r>
          </w:p>
        </w:tc>
      </w:tr>
      <w:tr w:rsidR="00FE428D" w:rsidRPr="007F5D00" w:rsidTr="00E73B9F">
        <w:trPr>
          <w:trHeight w:val="20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-25,35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-63,38</w:t>
            </w:r>
          </w:p>
        </w:tc>
      </w:tr>
      <w:tr w:rsidR="00FE428D" w:rsidRPr="007F5D00" w:rsidTr="00E73B9F">
        <w:trPr>
          <w:trHeight w:val="45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665,65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519,38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355,08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 возмещения ущерба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Безвозмездные поступления, в </w:t>
            </w:r>
            <w:proofErr w:type="spellStart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44 299,90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43 579,38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42 772,73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98,15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-1 527,17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-3,45</w:t>
            </w:r>
          </w:p>
        </w:tc>
      </w:tr>
      <w:tr w:rsidR="00FE428D" w:rsidRPr="007F5D00" w:rsidTr="00DD2AA2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26 263,60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25 840,90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25 840,90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-422,70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-1,61</w:t>
            </w:r>
          </w:p>
        </w:tc>
      </w:tr>
      <w:tr w:rsidR="00FE428D" w:rsidRPr="007F5D00" w:rsidTr="00DD2AA2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194,74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197,65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197,65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1,49</w:t>
            </w:r>
          </w:p>
        </w:tc>
      </w:tr>
      <w:tr w:rsidR="00FE428D" w:rsidRPr="007F5D00" w:rsidTr="00DD2AA2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17 404,06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16 673,38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15 866,73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95,16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-1 537,33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-8,83</w:t>
            </w:r>
          </w:p>
        </w:tc>
      </w:tr>
      <w:tr w:rsidR="00FE428D" w:rsidRPr="007F5D00" w:rsidTr="00E73B9F">
        <w:trPr>
          <w:trHeight w:val="30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867,45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98,27</w:t>
            </w:r>
          </w:p>
        </w:tc>
      </w:tr>
      <w:tr w:rsidR="00FE428D" w:rsidRPr="007F5D00" w:rsidTr="00E73B9F">
        <w:trPr>
          <w:trHeight w:val="675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</w:t>
            </w:r>
            <w:r w:rsidR="005A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7F5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сфертов, имеющих целевое назначение, прошлых лет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D" w:rsidRPr="007F5D00" w:rsidRDefault="00FE428D" w:rsidP="00FE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F5D0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0C5D87" w:rsidRPr="00A52C82" w:rsidRDefault="000C5D87" w:rsidP="00A5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17" w:rsidRPr="00A52C82" w:rsidRDefault="00693428" w:rsidP="00A5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годового отчета бюджет поселения по доходам исполнен за 201</w:t>
      </w:r>
      <w:r w:rsidR="00A52C82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52C82" w:rsidRPr="000C5D87">
        <w:rPr>
          <w:rFonts w:ascii="Times New Roman" w:eastAsia="Times New Roman" w:hAnsi="Times New Roman" w:cs="Times New Roman"/>
          <w:sz w:val="28"/>
          <w:szCs w:val="28"/>
          <w:lang w:eastAsia="ru-RU"/>
        </w:rPr>
        <w:t>51 553,63</w:t>
      </w:r>
      <w:r w:rsidR="00A52C82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налоговые и неналоговые доходы в сумме </w:t>
      </w:r>
      <w:r w:rsid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8 780,90 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07D7C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безвозмездные поступления в сумме </w:t>
      </w:r>
      <w:r w:rsidR="00A52C82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42 772,73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Доходы бюджета поселения исполнены на </w:t>
      </w:r>
      <w:r w:rsidR="00A52C82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95,60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том числе: налоговые и неналоговые доходы на </w:t>
      </w:r>
      <w:r w:rsidR="00A52C82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84,85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EB5B17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A52C82"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>98,15</w:t>
      </w:r>
      <w:r w:rsidRPr="00A5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B5B17" w:rsidRPr="00DD60B7" w:rsidRDefault="002A284A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A52C82"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исполнение бюджета по доходам </w:t>
      </w:r>
      <w:r w:rsidR="00B66E6D"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6E6D"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1 405,69 </w:t>
      </w:r>
      <w:r w:rsidR="00693428"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66E6D"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>2,65</w:t>
      </w:r>
      <w:r w:rsidR="00693428" w:rsidRPr="00B6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693428" w:rsidRPr="0078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налоговые                    и неналоговые доходы </w:t>
      </w:r>
      <w:r w:rsidR="00B66E6D" w:rsidRPr="0078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на 121,48 </w:t>
      </w:r>
      <w:r w:rsidR="00693428" w:rsidRPr="00787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93428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17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93428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54FD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</w:t>
      </w:r>
      <w:r w:rsidR="00DD60B7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>1,40</w:t>
      </w:r>
      <w:r w:rsidR="009054FD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части безвозмездных поступлений отмечается </w:t>
      </w:r>
      <w:r w:rsidR="00DD60B7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уменьшение </w:t>
      </w:r>
      <w:r w:rsidR="00693428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60B7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>1 527,17</w:t>
      </w:r>
      <w:r w:rsidR="00693428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D60B7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>3,45</w:t>
      </w:r>
      <w:r w:rsidR="00693428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основном за счет </w:t>
      </w:r>
      <w:r w:rsidR="00DD60B7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="00693428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357F92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0E8D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дотаций</w:t>
      </w:r>
      <w:r w:rsidR="00357F92" w:rsidRPr="00DD6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0955" w:rsidRPr="009D7383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доходных источников </w:t>
      </w:r>
      <w:r w:rsidR="00DD60B7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(с </w:t>
      </w:r>
      <w:r w:rsidR="00DD60B7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16,35 </w:t>
      </w:r>
      <w:r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DD60B7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17,03 </w:t>
      </w:r>
      <w:r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доля безвозмездных поступлений </w:t>
      </w:r>
      <w:r w:rsidR="009D7383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9D7383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>83,65</w:t>
      </w:r>
      <w:r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45DDE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D7383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>82,97</w:t>
      </w:r>
      <w:r w:rsidR="00300955" w:rsidRPr="009D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300955" w:rsidRPr="00BB790C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бюджета поселения в 201</w:t>
      </w:r>
      <w:r w:rsidR="009D7383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налоговых</w:t>
      </w:r>
      <w:r w:rsidR="00EF0E8D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в общем объеме доходов поселения составила</w:t>
      </w:r>
      <w:r w:rsidR="00EF0E8D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383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17,03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9D7383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8 780,90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(в том числе доля налоговых доходов</w:t>
      </w:r>
      <w:r w:rsidR="00300955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составила 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15,42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7 947,78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неналоговых доходов составила</w:t>
      </w:r>
      <w:r w:rsidR="00EF0E8D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1,62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833,11 </w:t>
      </w:r>
      <w:r w:rsidR="00300955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  <w:proofErr w:type="gramEnd"/>
    </w:p>
    <w:p w:rsidR="00300955" w:rsidRPr="00BB790C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</w:t>
      </w:r>
      <w:r w:rsidR="00F45DDE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10,78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общем объеме исполненных доходов составляют налоги на </w:t>
      </w:r>
      <w:r w:rsidR="00FC2F59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прибыль,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</w:t>
      </w:r>
      <w:r w:rsidR="00FC2F59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5 556,02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00955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исполнением </w:t>
      </w:r>
      <w:r w:rsidR="00FC2F59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F59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B790C"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годового уточненного плана.</w:t>
      </w:r>
    </w:p>
    <w:p w:rsidR="00300955" w:rsidRPr="0051732A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F20F4E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по налогам на прибыль</w:t>
      </w: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уменьшились                </w:t>
      </w: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399,99</w:t>
      </w: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6,72 </w:t>
      </w:r>
      <w:r w:rsidR="00FC2F59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показателю 201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00955" w:rsidRPr="0051732A" w:rsidRDefault="00FC2F59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 (акцизы)</w:t>
      </w:r>
      <w:r w:rsidR="005A515E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515E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</w:t>
      </w:r>
      <w:r w:rsidR="00300955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A515E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146,04 </w:t>
      </w:r>
      <w:r w:rsidR="005A515E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300955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что </w:t>
      </w:r>
      <w:r w:rsidR="003A56C7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00955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15E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114,58</w:t>
      </w:r>
      <w:r w:rsidR="005A515E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ана</w:t>
      </w:r>
      <w:r w:rsidR="00300955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логичному показателю 201</w:t>
      </w:r>
      <w:r w:rsidR="0051732A" w:rsidRPr="005173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 этом исполнение к плану составило лишь 49,28 %.</w:t>
      </w:r>
    </w:p>
    <w:p w:rsidR="00300955" w:rsidRPr="00C36897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 в 201</w:t>
      </w:r>
      <w:r w:rsidR="0051732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                   </w:t>
      </w:r>
      <w:r w:rsidR="0051732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123,01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от уточненного плана</w:t>
      </w:r>
      <w:r w:rsidR="006D6DC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аналогичному показателю 201</w:t>
      </w:r>
      <w:r w:rsidR="0051732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51732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732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15,30 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                   на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11,06</w:t>
      </w:r>
      <w:r w:rsidR="00300955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22709" w:rsidRPr="00C36897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в 201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1 117,54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D6DC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97,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годового уточненного плана; к аналогичному по</w:t>
      </w:r>
      <w:r w:rsidR="006D6DC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казателю                    201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6D6DC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22,37</w:t>
      </w:r>
      <w:r w:rsidR="006D6DC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A56C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1,96</w:t>
      </w:r>
      <w:r w:rsidR="003A56C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20F4E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709" w:rsidRPr="00C36897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в 201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исполнена в объеме     </w:t>
      </w:r>
      <w:r w:rsidR="006D6DC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3,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87,25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</w:t>
      </w:r>
      <w:r w:rsidR="005952D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аналогичному показателю 201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0,39</w:t>
      </w:r>
      <w:r w:rsidR="005952DA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                      </w:t>
      </w:r>
      <w:r w:rsidR="00C36897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>12,58</w:t>
      </w:r>
      <w:r w:rsidR="00022709" w:rsidRPr="00C3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22709" w:rsidRPr="00AE50E2" w:rsidRDefault="00693428" w:rsidP="00AE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в 201</w:t>
      </w:r>
      <w:r w:rsidR="00C36897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                        </w:t>
      </w:r>
      <w:r w:rsidR="00C36897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833,11</w:t>
      </w:r>
      <w:r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63,81</w:t>
      </w:r>
      <w:r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  <w:r w:rsidR="007424F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показателю 201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24F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7424F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412,71</w:t>
      </w:r>
      <w:r w:rsidR="007424F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02270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24F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98,17</w:t>
      </w:r>
      <w:r w:rsidR="007424F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022709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E2" w:rsidRPr="00AE50E2" w:rsidRDefault="00022709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аибольший удельный вес в общем объеме доходов занимают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50E2" w:rsidRPr="000C5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материальных и нематериальных активов</w:t>
      </w:r>
      <w:r w:rsidR="005952DA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1,29</w:t>
      </w:r>
      <w:r w:rsidR="005952DA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665,65 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  <w:r w:rsidR="00F139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DA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201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доходов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3428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519,38 </w:t>
      </w:r>
      <w:r w:rsidR="00BA382E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AE50E2" w:rsidRPr="00AE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3,5 раза.</w:t>
      </w:r>
    </w:p>
    <w:p w:rsidR="00F13928" w:rsidRPr="003E6422" w:rsidRDefault="003E6422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C5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</w:t>
      </w:r>
      <w:r w:rsidR="00D006B3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152,81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25,47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00CCF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201</w:t>
      </w:r>
      <w:r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34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81,32</w:t>
      </w:r>
      <w:r w:rsidR="00A00CCF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139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>34,73</w:t>
      </w:r>
      <w:r w:rsidR="00F13928" w:rsidRPr="003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D218C" w:rsidRPr="004E3A8E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от оказания платных услуг (работ) и компенсации затрат государства в 201</w:t>
      </w:r>
      <w:r w:rsidR="004E3A8E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на сумму </w:t>
      </w:r>
      <w:r w:rsidR="004E3A8E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>14,65</w:t>
      </w:r>
      <w:r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</w:t>
      </w:r>
      <w:r w:rsidR="004E3A8E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>36,63</w:t>
      </w:r>
      <w:r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К аналогичному показателю 201</w:t>
      </w:r>
      <w:r w:rsidR="004E3A8E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A00CCF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 </w:t>
      </w:r>
      <w:r w:rsidR="004E3A8E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>25,35</w:t>
      </w:r>
      <w:r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A382E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E3A8E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>63,38</w:t>
      </w:r>
      <w:r w:rsidR="00DD218C" w:rsidRPr="004E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07783" w:rsidRPr="00E73B9F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бюджета поселения в 201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82,97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42 772,73</w:t>
      </w:r>
      <w:r w:rsidR="00307783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9D47D4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дотаций в общем объеме </w:t>
      </w:r>
      <w:r w:rsidR="00307783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50,12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25 840,90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9D47D4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доля субвенций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0,38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197,65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30,78</w:t>
      </w: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15 866,73</w:t>
      </w:r>
      <w:r w:rsidR="009D47D4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прочих безвозмездных</w:t>
      </w:r>
      <w:proofErr w:type="gramEnd"/>
      <w:r w:rsidR="009D47D4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="0028052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9,88</w:t>
      </w:r>
      <w:r w:rsidR="00307783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52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E3A8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867,45</w:t>
      </w:r>
      <w:r w:rsidR="0028052E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66462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783" w:rsidRPr="00E73B9F" w:rsidRDefault="00D66462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201</w:t>
      </w:r>
      <w:r w:rsidR="00E73B9F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E73B9F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693428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на </w:t>
      </w:r>
      <w:r w:rsidR="00E73B9F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1 527,17</w:t>
      </w:r>
      <w:r w:rsidR="00693428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73B9F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>3,45</w:t>
      </w:r>
      <w:r w:rsidR="00693428" w:rsidRPr="00E7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93028" w:rsidRPr="00E73B9F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B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расходной части бюджета сельского поселения Шапша:</w:t>
      </w:r>
    </w:p>
    <w:p w:rsidR="00693428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расходной части бюджета сельского поселения Шапша                   в 201</w:t>
      </w:r>
      <w:r w:rsidR="00E73B9F" w:rsidRPr="00E7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E7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в разрезе разделов бюджетной классификации представлено                     в Таблице 3.</w:t>
      </w:r>
    </w:p>
    <w:p w:rsidR="00693428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3B9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p w:rsidR="00E73B9F" w:rsidRPr="003A135F" w:rsidRDefault="00E73B9F" w:rsidP="00E73B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35F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81"/>
        <w:gridCol w:w="1972"/>
        <w:gridCol w:w="1843"/>
        <w:gridCol w:w="1559"/>
        <w:gridCol w:w="1417"/>
      </w:tblGrid>
      <w:tr w:rsidR="00E73B9F" w:rsidRPr="00E73B9F" w:rsidTr="00AE4BD0">
        <w:trPr>
          <w:trHeight w:val="4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0" w:rsidRPr="00AE4BD0" w:rsidRDefault="00AE4BD0" w:rsidP="00A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E73B9F" w:rsidRPr="00AE4BD0" w:rsidRDefault="00AE4BD0" w:rsidP="00A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2019 год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AE4BD0" w:rsidP="00A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2019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B9F" w:rsidRPr="00AE4BD0" w:rsidRDefault="00AE4BD0" w:rsidP="00A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AE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73B9F" w:rsidRPr="00E73B9F" w:rsidTr="00AE4BD0">
        <w:trPr>
          <w:trHeight w:val="56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73B9F" w:rsidRPr="00E73B9F" w:rsidTr="00AE4BD0">
        <w:trPr>
          <w:trHeight w:val="45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16 349,92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15 901,88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-448,04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97,26</w:t>
            </w:r>
          </w:p>
        </w:tc>
      </w:tr>
      <w:tr w:rsidR="00E73B9F" w:rsidRPr="00E73B9F" w:rsidTr="00DD2AA2">
        <w:trPr>
          <w:trHeight w:val="3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3B9F" w:rsidRPr="00E73B9F" w:rsidTr="00DD2AA2">
        <w:trPr>
          <w:trHeight w:val="638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257,88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3B9F" w:rsidRPr="00E73B9F" w:rsidTr="00DD2AA2">
        <w:trPr>
          <w:trHeight w:val="30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6 453,28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6 439,87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-13,41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99,79</w:t>
            </w:r>
          </w:p>
        </w:tc>
      </w:tr>
      <w:tr w:rsidR="00E73B9F" w:rsidRPr="00E73B9F" w:rsidTr="00AE4BD0">
        <w:trPr>
          <w:trHeight w:val="45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15 233,77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14 046,03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-1 187,74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92,20</w:t>
            </w:r>
          </w:p>
        </w:tc>
      </w:tr>
      <w:tr w:rsidR="00E73B9F" w:rsidRPr="00E73B9F" w:rsidTr="00AE4BD0">
        <w:trPr>
          <w:trHeight w:val="3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3B9F" w:rsidRPr="00E73B9F" w:rsidTr="00AE4BD0">
        <w:trPr>
          <w:trHeight w:val="3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750,69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3B9F" w:rsidRPr="00E73B9F" w:rsidTr="00AE4BD0">
        <w:trPr>
          <w:trHeight w:val="3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14 420,37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13 417,55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-1 002,82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93,05</w:t>
            </w:r>
          </w:p>
        </w:tc>
      </w:tr>
      <w:tr w:rsidR="00E73B9F" w:rsidRPr="00E73B9F" w:rsidTr="00AE4BD0">
        <w:trPr>
          <w:trHeight w:val="3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3B9F" w:rsidRPr="00E73B9F" w:rsidTr="00AE4BD0">
        <w:trPr>
          <w:trHeight w:val="379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AE4BD0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1 509,38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E73B9F" w:rsidRPr="00E73B9F" w:rsidTr="00AE4BD0">
        <w:trPr>
          <w:trHeight w:val="300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55 232,94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52 580,93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-2 652,01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9F" w:rsidRPr="00E73B9F" w:rsidRDefault="00E73B9F" w:rsidP="00E7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95,20</w:t>
            </w:r>
          </w:p>
        </w:tc>
      </w:tr>
    </w:tbl>
    <w:p w:rsidR="003D7BD0" w:rsidRPr="0038404A" w:rsidRDefault="003D7BD0" w:rsidP="0038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C199F" w:rsidRPr="0038404A" w:rsidRDefault="0038404A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сельского поселения                                         от 20.12.2018 № 19 «О бюджете сельского поселения Шапша на очередной 2019 год и плановый 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DD2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AA2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201</w:t>
      </w:r>
      <w:r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55 232,94</w:t>
      </w:r>
      <w:r w:rsidR="003D7BD0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Исполнение расходной части бюджета                 </w:t>
      </w:r>
      <w:r w:rsidR="00A07D7C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52 580,93</w:t>
      </w:r>
      <w:r w:rsidR="00BA2DB4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>95,20</w:t>
      </w:r>
      <w:r w:rsidR="00BC199F" w:rsidRPr="0038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693428" w:rsidRPr="00654814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Сравнительная характеристика исполнения бюджета сельского поселения по расходам в разрезе разделов бюджетной классиф</w:t>
      </w:r>
      <w:r w:rsidR="00BA2DB4" w:rsidRPr="00654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                  за 201</w:t>
      </w:r>
      <w:r w:rsidR="0038404A" w:rsidRPr="006548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481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8404A" w:rsidRPr="00654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A62768" w:rsidRPr="00654814" w:rsidRDefault="00693428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5481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4</w:t>
      </w:r>
    </w:p>
    <w:p w:rsidR="0038404A" w:rsidRPr="00654814" w:rsidRDefault="0038404A" w:rsidP="0038404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81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2274"/>
        <w:gridCol w:w="994"/>
        <w:gridCol w:w="992"/>
        <w:gridCol w:w="1134"/>
        <w:gridCol w:w="992"/>
        <w:gridCol w:w="992"/>
        <w:gridCol w:w="1123"/>
      </w:tblGrid>
      <w:tr w:rsidR="00654814" w:rsidRPr="00654814" w:rsidTr="003E2FBA">
        <w:trPr>
          <w:trHeight w:val="188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</w:tr>
      <w:tr w:rsidR="00654814" w:rsidRPr="00654814" w:rsidTr="003E2FBA">
        <w:trPr>
          <w:trHeight w:val="559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2018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2019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654814" w:rsidRPr="00654814" w:rsidTr="003E2FBA">
        <w:trPr>
          <w:trHeight w:val="12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</w:tr>
      <w:tr w:rsidR="00654814" w:rsidRPr="00654814" w:rsidTr="003E2FBA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17 229,40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15 901,88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30,24</w:t>
            </w:r>
          </w:p>
        </w:tc>
      </w:tr>
      <w:tr w:rsidR="00654814" w:rsidRPr="00654814" w:rsidTr="003E2FBA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654814" w:rsidRPr="00654814" w:rsidTr="003E2FBA">
        <w:trPr>
          <w:trHeight w:val="4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</w:tr>
      <w:tr w:rsidR="00654814" w:rsidRPr="00654814" w:rsidTr="003E2FBA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6 686,86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6 439,87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12,25</w:t>
            </w:r>
          </w:p>
        </w:tc>
      </w:tr>
      <w:tr w:rsidR="00654814" w:rsidRPr="00654814" w:rsidTr="003E2FBA">
        <w:trPr>
          <w:trHeight w:val="4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11 681,62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14 046,03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26,71</w:t>
            </w:r>
          </w:p>
        </w:tc>
      </w:tr>
      <w:tr w:rsidR="00654814" w:rsidRPr="00654814" w:rsidTr="003E2FBA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CA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54814" w:rsidRPr="00654814" w:rsidTr="003E2FBA">
        <w:trPr>
          <w:trHeight w:val="27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759,93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750,69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</w:t>
            </w:r>
          </w:p>
        </w:tc>
      </w:tr>
      <w:tr w:rsidR="00654814" w:rsidRPr="00654814" w:rsidTr="003E2FBA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14 210,79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13 417,55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25,52</w:t>
            </w:r>
          </w:p>
        </w:tc>
      </w:tr>
      <w:tr w:rsidR="00654814" w:rsidRPr="00654814" w:rsidTr="003E2FBA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</w:tr>
      <w:tr w:rsidR="00654814" w:rsidRPr="00654814" w:rsidTr="003E2FBA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</w:t>
            </w:r>
          </w:p>
        </w:tc>
      </w:tr>
      <w:tr w:rsidR="00654814" w:rsidRPr="00654814" w:rsidTr="003E2FBA">
        <w:trPr>
          <w:trHeight w:val="300"/>
        </w:trPr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52 537,93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52 580,93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14" w:rsidRPr="00654814" w:rsidRDefault="00654814" w:rsidP="006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</w:tbl>
    <w:p w:rsidR="003E2FBA" w:rsidRDefault="003E2FBA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CA2851" w:rsidRDefault="00066C92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201</w:t>
      </w:r>
      <w:r w:rsidR="00654814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201</w:t>
      </w:r>
      <w:r w:rsidR="00654814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увеличились на </w:t>
      </w:r>
      <w:r w:rsidR="00CA2851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43,00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отмечается 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851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исполнения бюджета п</w:t>
      </w:r>
      <w:r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расходам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A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CA2851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8,33</w:t>
      </w:r>
      <w:r w:rsidR="00F219A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A2851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95,20 %</w:t>
      </w:r>
      <w:r w:rsidR="00693428" w:rsidRPr="00CA28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AC2605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расходов бюджета поселения в 201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общегосударственные вопросы 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30,24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</w:t>
      </w:r>
      <w:r w:rsidR="00066C92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32,79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26,71 % (в 2018 году 22,23 %), 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кинематография 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25,52</w:t>
      </w:r>
      <w:r w:rsidR="003824F7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27,05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93428" w:rsidRPr="00AC2605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значитель</w:t>
      </w:r>
      <w:r w:rsidR="00F219A8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часть расходов бюджета посел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201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12,25</w:t>
      </w:r>
      <w:r w:rsidR="003824F7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A8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(в 2018</w:t>
      </w:r>
      <w:r w:rsidR="003824F7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2605"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>12,73</w:t>
      </w:r>
      <w:r w:rsidRPr="00AC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93428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AC2605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15 901,88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2605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97,26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плановым назначениям </w:t>
      </w:r>
      <w:r w:rsidR="00460094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17 229,40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95,78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462DC9" w:rsidRPr="00B47FF5" w:rsidRDefault="00462DC9" w:rsidP="0046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15 901,88 тыс. рублей произведены                                по следующим направлениям: </w:t>
      </w:r>
    </w:p>
    <w:p w:rsidR="00462DC9" w:rsidRPr="00B47FF5" w:rsidRDefault="00E347A9" w:rsidP="00E3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1 756,12 </w:t>
      </w:r>
      <w:r w:rsidR="00462DC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функционирование главы сельского поселения;</w:t>
      </w:r>
    </w:p>
    <w:p w:rsidR="00574539" w:rsidRDefault="00574539" w:rsidP="00E3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11 623,17 </w:t>
      </w:r>
      <w:r w:rsidR="00462DC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функционирование местной администрации, в том числе: </w:t>
      </w:r>
      <w:r w:rsidR="00E347A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1 695,27 </w:t>
      </w:r>
      <w:r w:rsidR="00462DC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расходы на выплаты муниципальным служащим; </w:t>
      </w:r>
      <w:r w:rsidR="00E347A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>9 927,</w:t>
      </w:r>
      <w:r w:rsid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462DC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 отнесенному к муниципальным служащим; </w:t>
      </w:r>
    </w:p>
    <w:p w:rsidR="00A676D4" w:rsidRPr="00B51C22" w:rsidRDefault="005F5B64" w:rsidP="00A6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2 458,66 </w:t>
      </w:r>
      <w:r w:rsidR="00462DC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C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органов местного самоуправления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3A5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 и услуг для муниципальных нужд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               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числе: 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>189,70</w:t>
      </w:r>
      <w:r w:rsidR="001E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услуги связи; 319,23</w:t>
      </w:r>
      <w:r w:rsidR="006052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E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052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коммунальные услуги; 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90,88 </w:t>
      </w:r>
      <w:r w:rsidR="006052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работы и услуги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052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имущества; 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670,03 </w:t>
      </w:r>
      <w:r w:rsidR="006052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прочие работы и услуги; </w:t>
      </w:r>
      <w:r w:rsidR="000B3A5E">
        <w:rPr>
          <w:rFonts w:ascii="Times New Roman" w:eastAsia="Times New Roman" w:hAnsi="Times New Roman" w:cs="Times New Roman"/>
          <w:sz w:val="28"/>
          <w:szCs w:val="28"/>
          <w:lang w:eastAsia="ru-RU"/>
        </w:rPr>
        <w:t>919,86 тыс. рублей – поступление нефинансовых активов</w:t>
      </w:r>
      <w:r w:rsidR="006052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A6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6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268,96 тыс. рублей </w:t>
      </w:r>
      <w:r w:rsidR="00A676D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уплата налогов, сборов и иных платежей;</w:t>
      </w:r>
    </w:p>
    <w:p w:rsidR="00462DC9" w:rsidRPr="00B47FF5" w:rsidRDefault="00B47FF5" w:rsidP="00E3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33,93 </w:t>
      </w:r>
      <w:r w:rsidR="00462DC9" w:rsidRPr="00B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межбюджетные трансферты, переданные                                    в бюджет Ханты-Мансийского района;</w:t>
      </w:r>
    </w:p>
    <w:p w:rsidR="00DE3F17" w:rsidRDefault="002676CC" w:rsidP="00DE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30,00 </w:t>
      </w:r>
      <w:r w:rsidR="00462DC9" w:rsidRPr="0026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расходы </w:t>
      </w:r>
      <w:r w:rsid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2DC9" w:rsidRPr="0026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="00DE3F17" w:rsidRP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конкурсов, </w:t>
      </w:r>
      <w:r w:rsid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выставок, культурно – массовых, </w:t>
      </w:r>
      <w:r w:rsidR="00DE3F17" w:rsidRP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мероприятий с</w:t>
      </w:r>
      <w:r w:rsid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адаптации                     и реабилитации </w:t>
      </w:r>
      <w:r w:rsidR="00DE3F17" w:rsidRP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развития эсте</w:t>
      </w:r>
      <w:r w:rsid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тического вкуса, художественной </w:t>
      </w:r>
      <w:r w:rsidR="00DE3F17" w:rsidRP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творческих способностей инвалидов</w:t>
      </w:r>
      <w:r w:rsidR="00DE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17" w:rsidRPr="00B51C22" w:rsidRDefault="00DE3F17" w:rsidP="00AE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на функционирование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администрации приходится </w:t>
      </w:r>
      <w:r w:rsidR="00FD3243">
        <w:rPr>
          <w:rFonts w:ascii="Times New Roman" w:eastAsia="Times New Roman" w:hAnsi="Times New Roman" w:cs="Times New Roman"/>
          <w:sz w:val="28"/>
          <w:szCs w:val="28"/>
          <w:lang w:eastAsia="ru-RU"/>
        </w:rPr>
        <w:t>13 379,29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</w:t>
      </w:r>
      <w:r w:rsidR="00602651">
        <w:rPr>
          <w:rFonts w:ascii="Times New Roman" w:eastAsia="Times New Roman" w:hAnsi="Times New Roman" w:cs="Times New Roman"/>
          <w:sz w:val="28"/>
          <w:szCs w:val="28"/>
          <w:lang w:eastAsia="ru-RU"/>
        </w:rPr>
        <w:t>84,14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общегосударственных расходов, что также составляет</w:t>
      </w:r>
      <w:r w:rsidR="0060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25,44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поселения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52 580,93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на исполнение остальных общегосударственных  полномочий затрачено </w:t>
      </w:r>
      <w:r w:rsidR="0024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2 522,59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0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15,86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60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общегосударственных расходов.</w:t>
      </w:r>
      <w:proofErr w:type="gramEnd"/>
    </w:p>
    <w:p w:rsidR="00DE3F17" w:rsidRPr="00B51C22" w:rsidRDefault="00DE3F17" w:rsidP="00AE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AE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</w:t>
      </w:r>
      <w:r w:rsidR="002E2B0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</w:t>
      </w:r>
      <w:r w:rsidR="002E2B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B0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2E2B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2B0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01">
        <w:rPr>
          <w:rFonts w:ascii="Times New Roman" w:eastAsia="Times New Roman" w:hAnsi="Times New Roman" w:cs="Times New Roman"/>
          <w:sz w:val="28"/>
          <w:szCs w:val="28"/>
          <w:lang w:eastAsia="ru-RU"/>
        </w:rPr>
        <w:t>(8 780,89</w:t>
      </w:r>
      <w:r w:rsidR="002E2B0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2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2B0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покрывают </w:t>
      </w:r>
      <w:r w:rsidRPr="00AE1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функционирование главы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026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</w:t>
      </w:r>
      <w:r w:rsidR="0062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</w:t>
      </w:r>
      <w:r w:rsidR="002E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r w:rsidR="00E1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13 379,29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E2B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28" w:rsidRPr="002B3AB8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сумме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195,60 </w:t>
      </w:r>
      <w:r w:rsidR="00460094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460094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172,75</w:t>
      </w:r>
      <w:r w:rsidR="00460094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2B3AB8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257,88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460094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622,80</w:t>
      </w:r>
      <w:r w:rsidR="00460094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29,34</w:t>
      </w:r>
      <w:r w:rsidR="00460094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2B3AB8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сумме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6 439,87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99,79</w:t>
      </w:r>
      <w:r w:rsidR="00A1405D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6 686,86</w:t>
      </w:r>
      <w:r w:rsidR="00A1405D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95,31</w:t>
      </w:r>
      <w:r w:rsidR="00A1405D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F51" w:rsidRPr="002B3AB8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сумме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14 046,03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92,20</w:t>
      </w:r>
      <w:r w:rsidR="00A1405D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–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11 681,62 </w:t>
      </w:r>
      <w:r w:rsidR="00A1405D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B3AB8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78,20</w:t>
      </w:r>
      <w:r w:rsidR="00A1405D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05D" w:rsidRPr="008667B9" w:rsidRDefault="00A1405D" w:rsidP="002B3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исполнены в сумме </w:t>
      </w:r>
      <w:r w:rsidR="002B3AB8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2,05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</w:t>
      </w:r>
      <w:r w:rsidR="00C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201</w:t>
      </w:r>
      <w:r w:rsidR="002B3AB8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B3AB8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1,98 тыс. рублей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B3AB8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100,00 %).</w:t>
      </w:r>
      <w:proofErr w:type="gramEnd"/>
    </w:p>
    <w:p w:rsidR="00693428" w:rsidRPr="008667B9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расходы исполнены в сумме                 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750,69 </w:t>
      </w:r>
      <w:r w:rsidR="00B35650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759,93</w:t>
      </w:r>
      <w:r w:rsidR="00B35650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8667B9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исполнены                в сумме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13 417,55 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93,05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</w:t>
      </w:r>
      <w:r w:rsidR="00E463EB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14 210,79 </w:t>
      </w:r>
      <w:r w:rsidR="00E463EB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93,28</w:t>
      </w:r>
      <w:r w:rsidR="00E463EB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8667B9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10 00 «Социальная политика» расходы испо</w:t>
      </w:r>
      <w:r w:rsidR="00E463EB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лнены                 в сумме 6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E463EB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</w:t>
      </w:r>
      <w:r w:rsidR="00E463EB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–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60,00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693428" w:rsidRPr="008667B9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 в сумме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1 509,38 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0B127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1 111,80 </w:t>
      </w:r>
      <w:r w:rsidR="000B127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667B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93,90</w:t>
      </w:r>
      <w:r w:rsidR="000B127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9BB" w:rsidRDefault="00693428" w:rsidP="00D62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бюджета сельского поселения в части расходов 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E2FBA"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илищно-коммунальное хозяйство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(92,20 %) и </w:t>
      </w:r>
      <w:proofErr w:type="gramStart"/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DF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</w:t>
      </w:r>
      <w:proofErr w:type="gramEnd"/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F9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кинематография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(93,05 %)</w:t>
      </w:r>
      <w:r w:rsidR="00DC5E3C"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</w:t>
      </w:r>
      <w:r w:rsidR="00712366"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отражены причины не</w:t>
      </w:r>
      <w:r w:rsidR="00C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расходов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037DF9" w:rsidRPr="00D6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 </w:t>
      </w:r>
      <w:r w:rsidR="00037DF9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F9" w:rsidRPr="002B3A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хозяйство»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</w:t>
      </w:r>
      <w:r w:rsidR="0083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83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 подразделу «Благоустройство», в связи проведением конкурсных </w:t>
      </w:r>
      <w:r w:rsidR="00C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на</w:t>
      </w:r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C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для ТБО.</w:t>
      </w:r>
      <w:r w:rsidR="00D6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B29BB" w:rsidRPr="008667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</w:t>
      </w:r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 исполнение связано с наличием вакансии </w:t>
      </w:r>
      <w:r w:rsidR="003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-</w:t>
      </w:r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="006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Ярки)</w:t>
      </w:r>
      <w:r w:rsidR="00D6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рекомендует рассмотреть вопрос </w:t>
      </w:r>
      <w:r w:rsidR="00E5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методики формирования </w:t>
      </w:r>
      <w:r w:rsidR="00DE44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в части оплаты труда, а именно по фактическому замещению.</w:t>
      </w:r>
    </w:p>
    <w:p w:rsidR="007A1FD1" w:rsidRDefault="007A1FD1" w:rsidP="007A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Ханты-Мансийского автономного                    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(далее – постановление от 24.12.2007 № 333-п),                             в отношении главы сельского поселения соблюден.</w:t>
      </w:r>
      <w:proofErr w:type="gramEnd"/>
      <w:r w:rsidRP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Начисленный                        и исполненный фонд оплаты труда главы сельского поселения в отчетном периоде составил </w:t>
      </w:r>
      <w:r w:rsidR="008A2040" w:rsidRP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2040" w:rsidRP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,95 </w:t>
      </w:r>
      <w:r w:rsidRP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начисления на оплату труда </w:t>
      </w:r>
      <w:r w:rsid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A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359,17 </w:t>
      </w:r>
      <w:r w:rsidRPr="008A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A5DA6" w:rsidRPr="001527CC" w:rsidRDefault="001A5DA6" w:rsidP="0015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бюджетом на 2019 год ФОТ главы утвержден                             в размере </w:t>
      </w:r>
      <w:r w:rsidR="001527CC"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1 081,00 </w:t>
      </w:r>
      <w:r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фактическое исполнение составило </w:t>
      </w:r>
      <w:r w:rsidR="001527CC"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1 396,95 </w:t>
      </w:r>
      <w:r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17C01"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предусмотренного                              в бюджете на </w:t>
      </w:r>
      <w:r w:rsidR="001527CC"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315,95 </w:t>
      </w:r>
      <w:r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1527CC"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>29,23</w:t>
      </w:r>
      <w:r w:rsidR="00017C01"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C5370B" w:rsidRDefault="00767E37" w:rsidP="00C5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муниципальных служащих на 2019 год</w:t>
      </w:r>
      <w:r w:rsid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бюджетом сельск</w:t>
      </w:r>
      <w:r w:rsid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утвержден в сумме 1</w:t>
      </w:r>
      <w:r w:rsid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CD"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037,8</w:t>
      </w:r>
      <w:r w:rsid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BD47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</w:t>
      </w:r>
      <w:r w:rsid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1 234,30 </w:t>
      </w:r>
      <w:r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выше первоначально утвержденного на </w:t>
      </w:r>
      <w:r w:rsidR="00F50E76"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>196,50</w:t>
      </w:r>
      <w:r w:rsid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 </w:t>
      </w:r>
      <w:r w:rsidR="00F50E76"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18,93 </w:t>
      </w:r>
      <w:r w:rsidRPr="00F50E7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67E37" w:rsidRPr="00C5370B" w:rsidRDefault="00C5370B" w:rsidP="00C5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7E37" w:rsidRP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фонда оплаты труда муниципальных служащих                               за 2019 год </w:t>
      </w:r>
      <w:r w:rsidRP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норматив</w:t>
      </w:r>
      <w:r w:rsidR="009A3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="00767E37" w:rsidRP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                 </w:t>
      </w:r>
      <w:r w:rsidR="00767E37" w:rsidRP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24.12.2007 № 333-п</w:t>
      </w:r>
      <w:r w:rsidRP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70B" w:rsidRPr="00C5370B" w:rsidRDefault="00C5370B" w:rsidP="00C53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51" w:rsidRPr="00D62995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29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</w:t>
      </w:r>
      <w:r w:rsidR="00224F51" w:rsidRPr="00D629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отчета об исполнении бюджета</w:t>
      </w:r>
    </w:p>
    <w:p w:rsidR="00224F51" w:rsidRPr="00EA7122" w:rsidRDefault="00693428" w:rsidP="004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224F51" w:rsidRPr="00EA7122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122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224F51" w:rsidRPr="00EA7122" w:rsidRDefault="00693428" w:rsidP="00224F51">
      <w:pPr>
        <w:pStyle w:val="ad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исполнении бюджета (ф. 0503117).</w:t>
      </w:r>
    </w:p>
    <w:p w:rsidR="00693428" w:rsidRPr="006835DD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по ф. 0503117 на 01 января 20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224F51" w:rsidRPr="006835DD" w:rsidRDefault="00693428" w:rsidP="0068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графы «Утвержденные бюджетные назначения» Отчета об исполнении бюджета </w:t>
      </w:r>
      <w:r w:rsidR="00224F51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ф. 0503117</w:t>
      </w:r>
      <w:r w:rsidR="00224F51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Шапша, утвержденными решением Совета 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20.12.2018 № 19 «О бюджете сельского поселения Шапша </w:t>
      </w:r>
      <w:r w:rsid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2019 год и плановый  период 2020 и 2021 годов»</w:t>
      </w:r>
      <w:r w:rsid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</w:t>
      </w:r>
      <w:r w:rsidR="00CE35F8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енениями</w:t>
      </w:r>
      <w:r w:rsidR="00D94278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B5D4F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5D4F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35DD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CE35F8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F51" w:rsidRPr="0068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не выявлены.</w:t>
      </w:r>
      <w:proofErr w:type="gramEnd"/>
    </w:p>
    <w:p w:rsidR="00224F51" w:rsidRPr="006835DD" w:rsidRDefault="00693428" w:rsidP="00224F51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Баланс исполнения бюджета (ф. 0503120).</w:t>
      </w:r>
    </w:p>
    <w:p w:rsidR="000805A8" w:rsidRPr="00530929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</w:t>
      </w:r>
      <w:r w:rsidR="00530929"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                ф. 0503130 и Баланса по поступлениям и выбытиям бюджетных средств           ф. 0503140 путем объединения показателей по строкам и графам отчетов,                       с одновременным исключением взаимосвязанных показателей.</w:t>
      </w:r>
    </w:p>
    <w:p w:rsidR="000805A8" w:rsidRPr="0009432A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по Балансу исполнения бюджета (ф. 0503120) строка 010 графы 8 соответствуют строке 010 графы 11 Сведений</w:t>
      </w:r>
      <w:r w:rsidR="00A07D7C"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движении нефинансовых активов </w:t>
      </w:r>
      <w:hyperlink r:id="rId9" w:history="1">
        <w:r w:rsidRPr="005309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0503168)</w:t>
        </w:r>
      </w:hyperlink>
      <w:r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составляют на конец года </w:t>
      </w:r>
      <w:r w:rsidR="00530929"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28 177 845,28 </w:t>
      </w:r>
      <w:r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(на начало года </w:t>
      </w:r>
      <w:r w:rsidR="00530929"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>22 334 290,02</w:t>
      </w:r>
      <w:r w:rsidRPr="005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  <w:r w:rsidR="00530929"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Амортизация основных средств составила на конец года </w:t>
      </w:r>
      <w:r w:rsidR="000805A8"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03E49"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12 352 026,37 </w:t>
      </w:r>
      <w:r w:rsidR="00F0040E"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(на начало года </w:t>
      </w:r>
      <w:r w:rsidR="00A03E49"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10 414 926,52 </w:t>
      </w:r>
      <w:r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0040E"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3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E49"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03E49"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увеличение объемов нефинансовых активов</w:t>
      </w:r>
      <w:r w:rsidR="00A03E49"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остаточной стоимости основных средств на </w:t>
      </w:r>
      <w:r w:rsidR="000943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432A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2A">
        <w:rPr>
          <w:rFonts w:ascii="Times New Roman" w:eastAsia="Times New Roman" w:hAnsi="Times New Roman" w:cs="Times New Roman"/>
          <w:sz w:val="28"/>
          <w:szCs w:val="28"/>
          <w:lang w:eastAsia="ru-RU"/>
        </w:rPr>
        <w:t>455,41</w:t>
      </w:r>
      <w:r w:rsidR="00A03E49"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09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9432A" w:rsidRPr="0009432A">
        <w:rPr>
          <w:rFonts w:ascii="Times New Roman" w:eastAsia="Times New Roman" w:hAnsi="Times New Roman" w:cs="Times New Roman"/>
          <w:sz w:val="28"/>
          <w:szCs w:val="28"/>
          <w:lang w:eastAsia="ru-RU"/>
        </w:rPr>
        <w:t>32,77</w:t>
      </w:r>
      <w:r w:rsidR="000805A8" w:rsidRPr="0009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805A8" w:rsidRPr="0009432A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0805A8" w:rsidRPr="0009432A" w:rsidRDefault="00693428" w:rsidP="000805A8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32A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(ф. 0503121).</w:t>
      </w:r>
    </w:p>
    <w:p w:rsidR="000805A8" w:rsidRPr="004477F9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сумма доходов по бюджетной деятельности</w:t>
      </w:r>
      <w:r w:rsidR="0048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87B40">
        <w:rPr>
          <w:rFonts w:ascii="Times New Roman" w:eastAsia="Times New Roman" w:hAnsi="Times New Roman" w:cs="Times New Roman"/>
          <w:sz w:val="28"/>
          <w:szCs w:val="28"/>
          <w:lang w:eastAsia="ru-RU"/>
        </w:rPr>
        <w:t>303 825 513,98</w:t>
      </w:r>
      <w:r w:rsidR="004477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7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сложилась в результате начисления налоговых доходов в сумме</w:t>
      </w:r>
      <w:r w:rsidR="0048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6 826 754,81</w:t>
      </w:r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собственности в сумме</w:t>
      </w:r>
      <w:r w:rsidR="0048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152 810,49</w:t>
      </w:r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доходов от оказания платных услуг (работ) в сумме </w:t>
      </w:r>
      <w:r w:rsidR="009B779A"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14 650,</w:t>
      </w:r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доходов от операций с активами –</w:t>
      </w:r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(минус)</w:t>
      </w:r>
      <w:r w:rsidR="009B779A"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B779A"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21 019 860,85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безвозмездных поступлений от бюджетов</w:t>
      </w:r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275 078 424,16</w:t>
      </w:r>
      <w:proofErr w:type="gramEnd"/>
      <w:r w:rsid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 прочих доходов в сумме</w:t>
      </w:r>
      <w:r w:rsidR="009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37 450,00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805A8" w:rsidRPr="004477F9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согласно вышеуказанному отчету, по бюджетной деятельности составили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57 191 374,40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рубля, из них: на оплату труда                   и начисления – 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22 426 037,08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39,21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работ, услуг – 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20 081 578,62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35,11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бюджетам </w:t>
      </w:r>
      <w:r w:rsidR="00D81082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2 452 950,00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4,29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социальное обеспечение</w:t>
      </w:r>
      <w:r w:rsidR="00266F18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80 494,31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0,14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операциям </w:t>
      </w:r>
      <w:r w:rsidR="00A07D7C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активами – 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11 842 053,82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20,71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proofErr w:type="gramEnd"/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0805A8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308 260,57</w:t>
      </w:r>
      <w:r w:rsidR="004477F9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4477F9" w:rsidRPr="00C85C7B">
        <w:rPr>
          <w:rFonts w:ascii="Times New Roman" w:eastAsia="Times New Roman" w:hAnsi="Times New Roman" w:cs="Times New Roman"/>
          <w:sz w:val="28"/>
          <w:szCs w:val="28"/>
          <w:lang w:eastAsia="ru-RU"/>
        </w:rPr>
        <w:t>0,54</w:t>
      </w:r>
      <w:r w:rsidR="009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A8" w:rsidRPr="004477F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805A8" w:rsidRPr="002807E7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Проверена правильность отражения структуры расходов: сумма строк анализируемого отчета 160-280 равняется расходам, отраженным  </w:t>
      </w:r>
      <w:r w:rsidR="00A07D7C" w:rsidRPr="0028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150.</w:t>
      </w:r>
    </w:p>
    <w:p w:rsidR="000805A8" w:rsidRPr="00752BDF" w:rsidRDefault="00693428" w:rsidP="0028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операционный результат по бюджетной деятельности сложился в сумме </w:t>
      </w:r>
      <w:r w:rsidR="002807E7" w:rsidRPr="0028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246 634 139,58 </w:t>
      </w:r>
      <w:r w:rsidRPr="0028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соответствует </w:t>
      </w:r>
      <w:r w:rsidR="0028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результату согласно балансу исполнения бюджета</w:t>
      </w:r>
      <w:r w:rsidR="002807E7"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0503120 (с</w:t>
      </w:r>
      <w:r w:rsidR="00BD2BDF"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тр. 560</w:t>
      </w:r>
      <w:r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8 – гр. 5).</w:t>
      </w:r>
    </w:p>
    <w:p w:rsidR="000805A8" w:rsidRPr="00752BDF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="009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ф. 0503110, по состоянию                                </w:t>
      </w:r>
      <w:r w:rsidR="00A116D3"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2807E7"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05A8"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не выявлено.</w:t>
      </w:r>
    </w:p>
    <w:p w:rsidR="000805A8" w:rsidRPr="00184769" w:rsidRDefault="00184769" w:rsidP="0075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693428" w:rsidRPr="00184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движении </w:t>
      </w:r>
      <w:r w:rsidR="00693428" w:rsidRPr="001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(ф. 0503123).</w:t>
      </w:r>
    </w:p>
    <w:p w:rsidR="000805A8" w:rsidRPr="00752BDF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0805A8" w:rsidRPr="000808F4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</w:t>
      </w:r>
      <w:r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2BDF"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51 553 631,33 </w:t>
      </w:r>
      <w:r w:rsidR="000808F4"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0808F4"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52 580 928,88</w:t>
      </w:r>
      <w:r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«Изменение остатков средств» отражена разница между доходами</w:t>
      </w:r>
      <w:r w:rsidR="00A07D7C"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расходами бюджета</w:t>
      </w:r>
      <w:r w:rsidR="000808F4"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– </w:t>
      </w:r>
      <w:r w:rsidR="000808F4"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1 027 297,55 </w:t>
      </w:r>
      <w:r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808F4"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0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5A8" w:rsidRPr="00AB7ABD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0805A8" w:rsidRPr="000D0DC5" w:rsidRDefault="00184769" w:rsidP="000D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93428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0805A8" w:rsidRPr="000D0DC5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состоит из текстовой части и </w:t>
      </w:r>
      <w:r w:rsidR="000D0DC5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разделов, включающих в себя таблицы и приложения, определенные </w:t>
      </w:r>
      <w:r w:rsidR="00DF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191н.</w:t>
      </w:r>
    </w:p>
    <w:p w:rsidR="00693428" w:rsidRPr="000D0DC5" w:rsidRDefault="00840BB4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3428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содержанием пунктов 8, 152 Инструкции № 191н </w:t>
      </w:r>
      <w:r w:rsidR="000805A8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93428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годовой отчетности</w:t>
      </w:r>
      <w:r w:rsidR="00184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428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числовых показателей</w:t>
      </w:r>
      <w:r w:rsidR="001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428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следующие формы отчетности, </w:t>
      </w:r>
      <w:r w:rsidR="001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3428" w:rsidRPr="000D0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Пояснительную записку (ф. 0503160) включена соответствующая информация об отсутствии форм:</w:t>
      </w:r>
    </w:p>
    <w:p w:rsidR="000805A8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целевых иностранных кредитах» </w:t>
      </w:r>
      <w:hyperlink r:id="rId10" w:anchor="P14501" w:history="1">
        <w:r w:rsidRPr="00273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0503167)</w:t>
        </w:r>
      </w:hyperlink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49F2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финансовых вложениях получателя бюджетных средств, администратора источников финансирования дефицита бюджета»                              </w:t>
      </w:r>
      <w:hyperlink r:id="rId11" w:anchor="P15547" w:history="1">
        <w:r w:rsidRPr="00273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0503171)</w:t>
        </w:r>
      </w:hyperlink>
      <w:r w:rsidR="007F49F2"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9F2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государственном (муниципальном) долге, предоставленных бюджетных кредитах» </w:t>
      </w:r>
      <w:hyperlink r:id="rId12" w:anchor="P15625" w:history="1">
        <w:r w:rsidRPr="00273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0503172)</w:t>
        </w:r>
      </w:hyperlink>
      <w:r w:rsidR="007F49F2"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9F2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об изменениях остатков валюты баланса  (Средства                        во временном распоряжении)» (ф. 0503173);</w:t>
      </w:r>
    </w:p>
    <w:p w:rsidR="007F49F2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hyperlink r:id="rId13" w:anchor="P16644" w:history="1">
        <w:r w:rsidRPr="00273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0503174)</w:t>
        </w:r>
      </w:hyperlink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9F2" w:rsidRPr="00FB7185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по ущербу имуществу, </w:t>
      </w:r>
      <w:proofErr w:type="gramStart"/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хищениях</w:t>
      </w:r>
      <w:proofErr w:type="gramEnd"/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                         и материальных ценностей» (ф. 0503176);</w:t>
      </w:r>
    </w:p>
    <w:p w:rsidR="007F49F2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«Справка о суммах консолидируемых поступлений, подлежащих зачислению на счет бюджета» (ф. 0503184);</w:t>
      </w:r>
    </w:p>
    <w:p w:rsidR="007F49F2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вложениях в объекты недвижимого имущества, объектах незавершенного строительства» </w:t>
      </w:r>
      <w:hyperlink r:id="rId14" w:anchor="P17629" w:history="1">
        <w:r w:rsidRPr="00273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0503190)</w:t>
        </w:r>
      </w:hyperlink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9F2" w:rsidRPr="00273980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«Расшифровка дебиторской задолженности по контрактным обязательствам» (ф. 0503192);</w:t>
      </w:r>
    </w:p>
    <w:p w:rsidR="007F49F2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«Расшифровка дебиторской задолженности по субси</w:t>
      </w:r>
      <w:r w:rsidR="00273980" w:rsidRPr="00273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диям организациям» (ф. 0503193).</w:t>
      </w:r>
    </w:p>
    <w:p w:rsidR="00940764" w:rsidRPr="00273980" w:rsidRDefault="00940764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F2" w:rsidRPr="00FB7185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бюджетной отчетности сельского поселения факты, способные негативно </w:t>
      </w:r>
      <w:proofErr w:type="gramStart"/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на достоверность бюджетной отчетности</w:t>
      </w:r>
      <w:r w:rsidR="007F49F2"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</w:t>
      </w:r>
      <w:proofErr w:type="gramEnd"/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установлен ряд нарушений и недостатков по оформлению и содержанию отдельных документов отчетности:</w:t>
      </w:r>
    </w:p>
    <w:p w:rsidR="007F49F2" w:rsidRPr="007C72AA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22DF3"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B4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1</w:t>
      </w:r>
      <w:r w:rsidR="00561D0B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7F49F2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№ 191н в графе 1 Т</w:t>
      </w:r>
      <w:r w:rsidR="00EB1AB4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аблицы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B4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«Сведения об исполнении текстовых статей закона (решения)</w:t>
      </w:r>
      <w:r w:rsidR="00A07D7C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B4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бюджете»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не содержание текстовой статьи закона (решения</w:t>
      </w:r>
      <w:r w:rsidR="00A07D7C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бюджете), имеющей отношение к субъекту бюджетной отчетности, </w:t>
      </w:r>
      <w:r w:rsidR="00A07D7C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3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отражено 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«ст.221 Бюджетная смета»</w:t>
      </w:r>
      <w:r w:rsidR="00EB1AB4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«№63ФЗ от 26.04.2007г.»</w:t>
      </w:r>
      <w:r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AB4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D7C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AB4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 «Причины неиспол</w:t>
      </w:r>
      <w:r w:rsidR="008E5C85" w:rsidRPr="007C7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нения» в Таблице 3 не заполнена;</w:t>
      </w:r>
      <w:proofErr w:type="gramEnd"/>
    </w:p>
    <w:p w:rsidR="00DB4ABC" w:rsidRDefault="00FB7185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D0B"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42860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158 Инструкции № 191 при отсутствии расхождений по результатам </w:t>
      </w:r>
      <w:proofErr w:type="gramStart"/>
      <w:r w:rsidR="00642860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 проведенной в целях подтверждения показателей годовой бюджетной отчетности                                    к пояснительной записке представлена</w:t>
      </w:r>
      <w:proofErr w:type="gramEnd"/>
      <w:r w:rsidR="00642860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642860" w:rsidRPr="00642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="00642860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                             </w:t>
      </w:r>
      <w:r w:rsidR="00642860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проведении инвентаризаций». В соответствии с указанным пунктом Инструкции № 191 при отсутствии расхождений по результатам инвентаризации </w:t>
      </w:r>
      <w:hyperlink r:id="rId16" w:history="1">
        <w:r w:rsidR="00642860" w:rsidRPr="00642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="00642860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заполняется, факт проведения годовой инвентаризации отражается в текстовой части раздела 5 «Прочие вопросы деятельности субъекта бюджетной отч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етности» Пояснительной записки.</w:t>
      </w:r>
    </w:p>
    <w:p w:rsidR="00DB4ABC" w:rsidRDefault="00FB7185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0C8"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58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159 Инструкции № 191н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FA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Таблицу 7 «Сведения о результатах мероприятий внешнего государственного (муниципального) финансового контроля»                                            внес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одно контрольное мероприятие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 по первичному воинскому учету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где отсутствуют военные комиссариаты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роведенное</w:t>
      </w:r>
      <w:r w:rsidR="006C758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C758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58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Военным комиссариатом г. Ханты-Мансийска 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5C85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ХМАО</w:t>
      </w:r>
      <w:r w:rsidR="00D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5C85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Югры.</w:t>
      </w:r>
      <w:proofErr w:type="gramEnd"/>
    </w:p>
    <w:p w:rsidR="00860568" w:rsidRPr="00113324" w:rsidRDefault="006C758F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(экспертно-аналитические)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C4A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85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вн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ешнего муниципального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F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C73EA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сельского поселения Шапша за 20</w:t>
      </w:r>
      <w:r w:rsidR="009C4A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проекта решения Совета депутатов сельского поселения Шапша «О бюджете сельского поселения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1332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1332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1332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BC1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0A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отражены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FA4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</w:t>
      </w:r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EA745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0A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2610A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нарушений </w:t>
      </w:r>
      <w:r w:rsidR="002610AF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замечаний в Т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7 отсутствуют</w:t>
      </w:r>
      <w:r w:rsidR="00860568"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860" w:rsidRPr="00B51C22" w:rsidRDefault="00642860" w:rsidP="006F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внешней проверки годового отчета за 2019 год контрольно-счетной палатой Ханты-Мансийского района осуществлялось              на выборочной основе.</w:t>
      </w:r>
    </w:p>
    <w:p w:rsidR="00693428" w:rsidRPr="00F45E95" w:rsidRDefault="00693428" w:rsidP="00F4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7F49F2" w:rsidRPr="006F59D8" w:rsidRDefault="00693428" w:rsidP="006F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внешней проверки годового отчета сельского поселения Шапша,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7F49F2" w:rsidRPr="006F59D8" w:rsidRDefault="00642860" w:rsidP="006F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3428" w:rsidRPr="006F5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отчет сельского поселения Шапша;</w:t>
      </w:r>
    </w:p>
    <w:p w:rsidR="00642860" w:rsidRPr="006F59D8" w:rsidRDefault="00642860" w:rsidP="006F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3428" w:rsidRPr="006F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муниципальному образованию «Сельское поселение Шапша»</w:t>
      </w:r>
      <w:r w:rsidRPr="006F59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9D8" w:rsidRPr="006F59D8" w:rsidRDefault="006F59D8" w:rsidP="006F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нормативным документом или предусмотреть                                в бюджетном процессе сельского поселения порядок формирования                          и  проверки годового отчета об исполнении бюджета поселения;</w:t>
      </w:r>
    </w:p>
    <w:p w:rsidR="006F59D8" w:rsidRPr="002C0984" w:rsidRDefault="006F59D8" w:rsidP="006F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6F59D8" w:rsidRPr="002C0984" w:rsidRDefault="006F59D8" w:rsidP="006F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составление и представление годовой бюджетной отчетности за 2020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отчетности, при этом учесть изменения  </w:t>
      </w:r>
      <w:r w:rsidRPr="002C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E23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от 31.01.2020 №  13н.</w:t>
      </w:r>
      <w:proofErr w:type="gramEnd"/>
    </w:p>
    <w:p w:rsidR="006F59D8" w:rsidRPr="002C0984" w:rsidRDefault="006F59D8" w:rsidP="002C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84" w:rsidRPr="00CF17D5" w:rsidRDefault="002C0984" w:rsidP="002C0984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</w:t>
      </w:r>
      <w:r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повторно отмечает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невыполнение                               финансово-экономическим сектором администрации сельского поселения </w:t>
      </w:r>
      <w:r w:rsidRPr="002C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Шапша </w:t>
      </w:r>
      <w:r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предложений по внешней проверке годового отч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ета сельского поселения </w:t>
      </w:r>
      <w:r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201</w:t>
      </w:r>
      <w:r w:rsidR="00F45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и 2018 </w:t>
      </w:r>
      <w:r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</w:t>
      </w:r>
      <w:r w:rsidR="00F45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оформления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 и 7 Поя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снительной записки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860" w:rsidRDefault="007B31D9" w:rsidP="007B31D9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42860" w:rsidSect="00693428">
      <w:footerReference w:type="default" r:id="rId17"/>
      <w:footerReference w:type="first" r:id="rId1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2C" w:rsidRDefault="00220A2C" w:rsidP="00617B40">
      <w:pPr>
        <w:spacing w:after="0" w:line="240" w:lineRule="auto"/>
      </w:pPr>
      <w:r>
        <w:separator/>
      </w:r>
    </w:p>
  </w:endnote>
  <w:endnote w:type="continuationSeparator" w:id="0">
    <w:p w:rsidR="00220A2C" w:rsidRDefault="00220A2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6357"/>
      <w:docPartObj>
        <w:docPartGallery w:val="Page Numbers (Bottom of Page)"/>
        <w:docPartUnique/>
      </w:docPartObj>
    </w:sdtPr>
    <w:sdtEndPr/>
    <w:sdtContent>
      <w:p w:rsidR="00220A2C" w:rsidRDefault="00220A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55">
          <w:rPr>
            <w:noProof/>
          </w:rPr>
          <w:t>12</w:t>
        </w:r>
        <w:r>
          <w:fldChar w:fldCharType="end"/>
        </w:r>
      </w:p>
    </w:sdtContent>
  </w:sdt>
  <w:p w:rsidR="00220A2C" w:rsidRDefault="00220A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4487"/>
      <w:docPartObj>
        <w:docPartGallery w:val="Page Numbers (Bottom of Page)"/>
        <w:docPartUnique/>
      </w:docPartObj>
    </w:sdtPr>
    <w:sdtEndPr/>
    <w:sdtContent>
      <w:p w:rsidR="00220A2C" w:rsidRDefault="00220A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55">
          <w:rPr>
            <w:noProof/>
          </w:rPr>
          <w:t>1</w:t>
        </w:r>
        <w:r>
          <w:fldChar w:fldCharType="end"/>
        </w:r>
      </w:p>
    </w:sdtContent>
  </w:sdt>
  <w:p w:rsidR="00220A2C" w:rsidRDefault="00220A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2C" w:rsidRDefault="00220A2C" w:rsidP="00617B40">
      <w:pPr>
        <w:spacing w:after="0" w:line="240" w:lineRule="auto"/>
      </w:pPr>
      <w:r>
        <w:separator/>
      </w:r>
    </w:p>
  </w:footnote>
  <w:footnote w:type="continuationSeparator" w:id="0">
    <w:p w:rsidR="00220A2C" w:rsidRDefault="00220A2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9B5"/>
    <w:rsid w:val="00012153"/>
    <w:rsid w:val="00016140"/>
    <w:rsid w:val="00017C01"/>
    <w:rsid w:val="00022709"/>
    <w:rsid w:val="00032BCA"/>
    <w:rsid w:val="00037DF9"/>
    <w:rsid w:val="000553F6"/>
    <w:rsid w:val="00066C92"/>
    <w:rsid w:val="000805A8"/>
    <w:rsid w:val="000808F4"/>
    <w:rsid w:val="0009432A"/>
    <w:rsid w:val="0009485B"/>
    <w:rsid w:val="00094C89"/>
    <w:rsid w:val="000A20DE"/>
    <w:rsid w:val="000B1279"/>
    <w:rsid w:val="000B2CB0"/>
    <w:rsid w:val="000B30E4"/>
    <w:rsid w:val="000B3A5E"/>
    <w:rsid w:val="000B4C48"/>
    <w:rsid w:val="000B6BD3"/>
    <w:rsid w:val="000C5D87"/>
    <w:rsid w:val="000D0DC5"/>
    <w:rsid w:val="000D3397"/>
    <w:rsid w:val="000E2AD9"/>
    <w:rsid w:val="000E4D41"/>
    <w:rsid w:val="000E76EF"/>
    <w:rsid w:val="000F242D"/>
    <w:rsid w:val="00106AD8"/>
    <w:rsid w:val="00113324"/>
    <w:rsid w:val="00113D3B"/>
    <w:rsid w:val="001223FE"/>
    <w:rsid w:val="00122DF3"/>
    <w:rsid w:val="0014119E"/>
    <w:rsid w:val="00150967"/>
    <w:rsid w:val="001527CC"/>
    <w:rsid w:val="00167936"/>
    <w:rsid w:val="00172408"/>
    <w:rsid w:val="00173895"/>
    <w:rsid w:val="00182AA0"/>
    <w:rsid w:val="00182B80"/>
    <w:rsid w:val="00184769"/>
    <w:rsid w:val="001847D2"/>
    <w:rsid w:val="00185C17"/>
    <w:rsid w:val="0018600B"/>
    <w:rsid w:val="00186A59"/>
    <w:rsid w:val="0019541E"/>
    <w:rsid w:val="001A059E"/>
    <w:rsid w:val="001A5D45"/>
    <w:rsid w:val="001A5DA6"/>
    <w:rsid w:val="001A75F1"/>
    <w:rsid w:val="001C2481"/>
    <w:rsid w:val="001C5C3F"/>
    <w:rsid w:val="001E66C5"/>
    <w:rsid w:val="001F6244"/>
    <w:rsid w:val="00216931"/>
    <w:rsid w:val="0021693B"/>
    <w:rsid w:val="00220A2C"/>
    <w:rsid w:val="00224F51"/>
    <w:rsid w:val="00225C7D"/>
    <w:rsid w:val="002300FD"/>
    <w:rsid w:val="00234040"/>
    <w:rsid w:val="002444C1"/>
    <w:rsid w:val="002452E9"/>
    <w:rsid w:val="002529F0"/>
    <w:rsid w:val="002610AF"/>
    <w:rsid w:val="00261D49"/>
    <w:rsid w:val="00266F18"/>
    <w:rsid w:val="002676CC"/>
    <w:rsid w:val="00273980"/>
    <w:rsid w:val="00276FC1"/>
    <w:rsid w:val="0028052E"/>
    <w:rsid w:val="002807E7"/>
    <w:rsid w:val="00297A80"/>
    <w:rsid w:val="002A284A"/>
    <w:rsid w:val="002A75A0"/>
    <w:rsid w:val="002B17D2"/>
    <w:rsid w:val="002B3AB8"/>
    <w:rsid w:val="002C0984"/>
    <w:rsid w:val="002D0994"/>
    <w:rsid w:val="002E2B01"/>
    <w:rsid w:val="002E5115"/>
    <w:rsid w:val="00300955"/>
    <w:rsid w:val="00301280"/>
    <w:rsid w:val="00307783"/>
    <w:rsid w:val="0031092A"/>
    <w:rsid w:val="00312A5A"/>
    <w:rsid w:val="00320BC1"/>
    <w:rsid w:val="003362D5"/>
    <w:rsid w:val="00343AC1"/>
    <w:rsid w:val="00343BF0"/>
    <w:rsid w:val="00343FF5"/>
    <w:rsid w:val="003553CD"/>
    <w:rsid w:val="00357F92"/>
    <w:rsid w:val="003624D8"/>
    <w:rsid w:val="003642CF"/>
    <w:rsid w:val="00371277"/>
    <w:rsid w:val="00375D35"/>
    <w:rsid w:val="003824F7"/>
    <w:rsid w:val="0038404A"/>
    <w:rsid w:val="00393DAD"/>
    <w:rsid w:val="0039505B"/>
    <w:rsid w:val="00397EFC"/>
    <w:rsid w:val="003A135F"/>
    <w:rsid w:val="003A56C7"/>
    <w:rsid w:val="003B5D4F"/>
    <w:rsid w:val="003D2EF7"/>
    <w:rsid w:val="003D7BD0"/>
    <w:rsid w:val="003E2FBA"/>
    <w:rsid w:val="003E6422"/>
    <w:rsid w:val="003F2416"/>
    <w:rsid w:val="003F2A0F"/>
    <w:rsid w:val="003F3603"/>
    <w:rsid w:val="003F3EC2"/>
    <w:rsid w:val="004019B1"/>
    <w:rsid w:val="00404BE7"/>
    <w:rsid w:val="00417101"/>
    <w:rsid w:val="00422070"/>
    <w:rsid w:val="00426734"/>
    <w:rsid w:val="00431272"/>
    <w:rsid w:val="0043169D"/>
    <w:rsid w:val="004333EE"/>
    <w:rsid w:val="00435130"/>
    <w:rsid w:val="00444FA4"/>
    <w:rsid w:val="0044500A"/>
    <w:rsid w:val="004477F9"/>
    <w:rsid w:val="0045359C"/>
    <w:rsid w:val="00460094"/>
    <w:rsid w:val="00462DC9"/>
    <w:rsid w:val="00465FC6"/>
    <w:rsid w:val="004824C4"/>
    <w:rsid w:val="00487B40"/>
    <w:rsid w:val="004918AD"/>
    <w:rsid w:val="004972E4"/>
    <w:rsid w:val="004B28BF"/>
    <w:rsid w:val="004B433A"/>
    <w:rsid w:val="004C069C"/>
    <w:rsid w:val="004C5642"/>
    <w:rsid w:val="004C7125"/>
    <w:rsid w:val="004E3A8E"/>
    <w:rsid w:val="004E5BF8"/>
    <w:rsid w:val="004F72DA"/>
    <w:rsid w:val="004F7CDE"/>
    <w:rsid w:val="00514E41"/>
    <w:rsid w:val="0051732A"/>
    <w:rsid w:val="005247F7"/>
    <w:rsid w:val="00530929"/>
    <w:rsid w:val="00532CA8"/>
    <w:rsid w:val="005439BD"/>
    <w:rsid w:val="00557C0A"/>
    <w:rsid w:val="00561D0B"/>
    <w:rsid w:val="0056694C"/>
    <w:rsid w:val="00572453"/>
    <w:rsid w:val="0057282F"/>
    <w:rsid w:val="00574539"/>
    <w:rsid w:val="00595250"/>
    <w:rsid w:val="005952DA"/>
    <w:rsid w:val="005A4090"/>
    <w:rsid w:val="005A515E"/>
    <w:rsid w:val="005A66B0"/>
    <w:rsid w:val="005B2935"/>
    <w:rsid w:val="005B40C8"/>
    <w:rsid w:val="005B7083"/>
    <w:rsid w:val="005C0ECE"/>
    <w:rsid w:val="005F0864"/>
    <w:rsid w:val="005F33F4"/>
    <w:rsid w:val="005F5B64"/>
    <w:rsid w:val="0060026A"/>
    <w:rsid w:val="00602651"/>
    <w:rsid w:val="006052BE"/>
    <w:rsid w:val="00617B40"/>
    <w:rsid w:val="0062166C"/>
    <w:rsid w:val="00622A9E"/>
    <w:rsid w:val="00623C81"/>
    <w:rsid w:val="00624276"/>
    <w:rsid w:val="00626321"/>
    <w:rsid w:val="00626796"/>
    <w:rsid w:val="00630755"/>
    <w:rsid w:val="00636F28"/>
    <w:rsid w:val="00642860"/>
    <w:rsid w:val="00654814"/>
    <w:rsid w:val="00655734"/>
    <w:rsid w:val="006615CF"/>
    <w:rsid w:val="006722F9"/>
    <w:rsid w:val="00681141"/>
    <w:rsid w:val="006835DD"/>
    <w:rsid w:val="0068523F"/>
    <w:rsid w:val="00693428"/>
    <w:rsid w:val="006A1EB7"/>
    <w:rsid w:val="006A5B30"/>
    <w:rsid w:val="006B1282"/>
    <w:rsid w:val="006B29BB"/>
    <w:rsid w:val="006C37AF"/>
    <w:rsid w:val="006C6EC8"/>
    <w:rsid w:val="006C758F"/>
    <w:rsid w:val="006C77B8"/>
    <w:rsid w:val="006D18AE"/>
    <w:rsid w:val="006D495B"/>
    <w:rsid w:val="006D6DCA"/>
    <w:rsid w:val="006E20C4"/>
    <w:rsid w:val="006F23A2"/>
    <w:rsid w:val="006F59D8"/>
    <w:rsid w:val="00712366"/>
    <w:rsid w:val="00720A82"/>
    <w:rsid w:val="0072193B"/>
    <w:rsid w:val="00724604"/>
    <w:rsid w:val="007343BF"/>
    <w:rsid w:val="007424F9"/>
    <w:rsid w:val="007440CD"/>
    <w:rsid w:val="0074772D"/>
    <w:rsid w:val="00752BDF"/>
    <w:rsid w:val="00761A51"/>
    <w:rsid w:val="00767E37"/>
    <w:rsid w:val="0077481C"/>
    <w:rsid w:val="00785C64"/>
    <w:rsid w:val="0078732C"/>
    <w:rsid w:val="007A0722"/>
    <w:rsid w:val="007A1FD1"/>
    <w:rsid w:val="007A22CF"/>
    <w:rsid w:val="007B31D9"/>
    <w:rsid w:val="007C5828"/>
    <w:rsid w:val="007C72AA"/>
    <w:rsid w:val="007D09DC"/>
    <w:rsid w:val="007F49F2"/>
    <w:rsid w:val="007F5D00"/>
    <w:rsid w:val="00801422"/>
    <w:rsid w:val="00805A4C"/>
    <w:rsid w:val="00822F9D"/>
    <w:rsid w:val="00827A88"/>
    <w:rsid w:val="00830414"/>
    <w:rsid w:val="0083303F"/>
    <w:rsid w:val="00840BB4"/>
    <w:rsid w:val="008459BB"/>
    <w:rsid w:val="00853484"/>
    <w:rsid w:val="00860568"/>
    <w:rsid w:val="008667B9"/>
    <w:rsid w:val="00886731"/>
    <w:rsid w:val="00887852"/>
    <w:rsid w:val="00897CB6"/>
    <w:rsid w:val="008A2040"/>
    <w:rsid w:val="008C2ACB"/>
    <w:rsid w:val="008D0FFE"/>
    <w:rsid w:val="008D6252"/>
    <w:rsid w:val="008E4601"/>
    <w:rsid w:val="008E5C85"/>
    <w:rsid w:val="008F4F3F"/>
    <w:rsid w:val="00903CF1"/>
    <w:rsid w:val="009054FD"/>
    <w:rsid w:val="00927695"/>
    <w:rsid w:val="009309D6"/>
    <w:rsid w:val="00933810"/>
    <w:rsid w:val="00940764"/>
    <w:rsid w:val="00942124"/>
    <w:rsid w:val="00944A7C"/>
    <w:rsid w:val="00962B7D"/>
    <w:rsid w:val="0096338B"/>
    <w:rsid w:val="00963E87"/>
    <w:rsid w:val="009917B5"/>
    <w:rsid w:val="00993028"/>
    <w:rsid w:val="009A231B"/>
    <w:rsid w:val="009A3D32"/>
    <w:rsid w:val="009B779A"/>
    <w:rsid w:val="009C0855"/>
    <w:rsid w:val="009C1751"/>
    <w:rsid w:val="009C4A67"/>
    <w:rsid w:val="009D47D4"/>
    <w:rsid w:val="009D7383"/>
    <w:rsid w:val="009E3D45"/>
    <w:rsid w:val="009F4D45"/>
    <w:rsid w:val="009F6EC2"/>
    <w:rsid w:val="00A00CCF"/>
    <w:rsid w:val="00A03E49"/>
    <w:rsid w:val="00A04612"/>
    <w:rsid w:val="00A07D7C"/>
    <w:rsid w:val="00A116D3"/>
    <w:rsid w:val="00A1405D"/>
    <w:rsid w:val="00A14960"/>
    <w:rsid w:val="00A27FE5"/>
    <w:rsid w:val="00A33D50"/>
    <w:rsid w:val="00A52C82"/>
    <w:rsid w:val="00A62768"/>
    <w:rsid w:val="00A676D4"/>
    <w:rsid w:val="00AB7ABD"/>
    <w:rsid w:val="00AC16A7"/>
    <w:rsid w:val="00AC194A"/>
    <w:rsid w:val="00AC2391"/>
    <w:rsid w:val="00AC2605"/>
    <w:rsid w:val="00AD36C2"/>
    <w:rsid w:val="00AD697A"/>
    <w:rsid w:val="00AE1C85"/>
    <w:rsid w:val="00AE4BD0"/>
    <w:rsid w:val="00AE50E2"/>
    <w:rsid w:val="00AF1991"/>
    <w:rsid w:val="00B0009B"/>
    <w:rsid w:val="00B17E67"/>
    <w:rsid w:val="00B2079F"/>
    <w:rsid w:val="00B2259C"/>
    <w:rsid w:val="00B230DD"/>
    <w:rsid w:val="00B35650"/>
    <w:rsid w:val="00B36438"/>
    <w:rsid w:val="00B45166"/>
    <w:rsid w:val="00B45F61"/>
    <w:rsid w:val="00B47FF5"/>
    <w:rsid w:val="00B53A62"/>
    <w:rsid w:val="00B626AF"/>
    <w:rsid w:val="00B66E6D"/>
    <w:rsid w:val="00B76CD1"/>
    <w:rsid w:val="00B777EC"/>
    <w:rsid w:val="00B81A2D"/>
    <w:rsid w:val="00BA2DB4"/>
    <w:rsid w:val="00BA382E"/>
    <w:rsid w:val="00BB611F"/>
    <w:rsid w:val="00BB6639"/>
    <w:rsid w:val="00BB6CBE"/>
    <w:rsid w:val="00BB790C"/>
    <w:rsid w:val="00BB7B81"/>
    <w:rsid w:val="00BC199F"/>
    <w:rsid w:val="00BD2BDF"/>
    <w:rsid w:val="00BD47AB"/>
    <w:rsid w:val="00BE0332"/>
    <w:rsid w:val="00BE2AF4"/>
    <w:rsid w:val="00BF262A"/>
    <w:rsid w:val="00C002B4"/>
    <w:rsid w:val="00C00BC2"/>
    <w:rsid w:val="00C10AE7"/>
    <w:rsid w:val="00C16253"/>
    <w:rsid w:val="00C21D1F"/>
    <w:rsid w:val="00C239F1"/>
    <w:rsid w:val="00C32BD8"/>
    <w:rsid w:val="00C36897"/>
    <w:rsid w:val="00C36F0C"/>
    <w:rsid w:val="00C36F5A"/>
    <w:rsid w:val="00C4059C"/>
    <w:rsid w:val="00C51F70"/>
    <w:rsid w:val="00C5370B"/>
    <w:rsid w:val="00C73EA8"/>
    <w:rsid w:val="00C7412C"/>
    <w:rsid w:val="00C85C7B"/>
    <w:rsid w:val="00CA2851"/>
    <w:rsid w:val="00CA7141"/>
    <w:rsid w:val="00CB1013"/>
    <w:rsid w:val="00CB43E7"/>
    <w:rsid w:val="00CC4A3E"/>
    <w:rsid w:val="00CC7C2A"/>
    <w:rsid w:val="00CE35F8"/>
    <w:rsid w:val="00CF3794"/>
    <w:rsid w:val="00CF44D0"/>
    <w:rsid w:val="00CF744D"/>
    <w:rsid w:val="00D006B3"/>
    <w:rsid w:val="00D007DF"/>
    <w:rsid w:val="00D1388A"/>
    <w:rsid w:val="00D155CC"/>
    <w:rsid w:val="00D20948"/>
    <w:rsid w:val="00D213D8"/>
    <w:rsid w:val="00D26095"/>
    <w:rsid w:val="00D43162"/>
    <w:rsid w:val="00D44AF6"/>
    <w:rsid w:val="00D4701F"/>
    <w:rsid w:val="00D53054"/>
    <w:rsid w:val="00D62995"/>
    <w:rsid w:val="00D64FB3"/>
    <w:rsid w:val="00D66462"/>
    <w:rsid w:val="00D73130"/>
    <w:rsid w:val="00D73A48"/>
    <w:rsid w:val="00D768D7"/>
    <w:rsid w:val="00D8061E"/>
    <w:rsid w:val="00D81082"/>
    <w:rsid w:val="00D94278"/>
    <w:rsid w:val="00DA3941"/>
    <w:rsid w:val="00DB032D"/>
    <w:rsid w:val="00DB4ABC"/>
    <w:rsid w:val="00DC0388"/>
    <w:rsid w:val="00DC2CD9"/>
    <w:rsid w:val="00DC5E3C"/>
    <w:rsid w:val="00DC7777"/>
    <w:rsid w:val="00DD218C"/>
    <w:rsid w:val="00DD2AA2"/>
    <w:rsid w:val="00DD60B7"/>
    <w:rsid w:val="00DE12FA"/>
    <w:rsid w:val="00DE3F17"/>
    <w:rsid w:val="00DE44DA"/>
    <w:rsid w:val="00DE528A"/>
    <w:rsid w:val="00DF016B"/>
    <w:rsid w:val="00DF0E52"/>
    <w:rsid w:val="00DF3E78"/>
    <w:rsid w:val="00E020E1"/>
    <w:rsid w:val="00E024DC"/>
    <w:rsid w:val="00E05238"/>
    <w:rsid w:val="00E05262"/>
    <w:rsid w:val="00E159E9"/>
    <w:rsid w:val="00E2346C"/>
    <w:rsid w:val="00E26486"/>
    <w:rsid w:val="00E347A9"/>
    <w:rsid w:val="00E35131"/>
    <w:rsid w:val="00E463EB"/>
    <w:rsid w:val="00E516F7"/>
    <w:rsid w:val="00E53083"/>
    <w:rsid w:val="00E543D6"/>
    <w:rsid w:val="00E624C3"/>
    <w:rsid w:val="00E63EE2"/>
    <w:rsid w:val="00E73B9F"/>
    <w:rsid w:val="00EA36BD"/>
    <w:rsid w:val="00EA7122"/>
    <w:rsid w:val="00EA745F"/>
    <w:rsid w:val="00EB1AB4"/>
    <w:rsid w:val="00EB5B17"/>
    <w:rsid w:val="00ED01A2"/>
    <w:rsid w:val="00ED123C"/>
    <w:rsid w:val="00EF0E8D"/>
    <w:rsid w:val="00EF214F"/>
    <w:rsid w:val="00F0040E"/>
    <w:rsid w:val="00F00562"/>
    <w:rsid w:val="00F114E8"/>
    <w:rsid w:val="00F13928"/>
    <w:rsid w:val="00F13EE0"/>
    <w:rsid w:val="00F155DA"/>
    <w:rsid w:val="00F20F4E"/>
    <w:rsid w:val="00F219A8"/>
    <w:rsid w:val="00F262C9"/>
    <w:rsid w:val="00F27B64"/>
    <w:rsid w:val="00F34803"/>
    <w:rsid w:val="00F449DF"/>
    <w:rsid w:val="00F45DC5"/>
    <w:rsid w:val="00F45DDE"/>
    <w:rsid w:val="00F45E95"/>
    <w:rsid w:val="00F50E76"/>
    <w:rsid w:val="00F54F00"/>
    <w:rsid w:val="00F55E37"/>
    <w:rsid w:val="00F60096"/>
    <w:rsid w:val="00F6142D"/>
    <w:rsid w:val="00F64E07"/>
    <w:rsid w:val="00F765C7"/>
    <w:rsid w:val="00FA4CF5"/>
    <w:rsid w:val="00FB7185"/>
    <w:rsid w:val="00FB7756"/>
    <w:rsid w:val="00FC2F59"/>
    <w:rsid w:val="00FC3FBE"/>
    <w:rsid w:val="00FC5F00"/>
    <w:rsid w:val="00FD3243"/>
    <w:rsid w:val="00FE367D"/>
    <w:rsid w:val="00FE428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10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Relationship Id="rId14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5CEB-DB95-46AA-AA79-225B9F8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2020-04-01T11:48:00Z</dcterms:modified>
</cp:coreProperties>
</file>